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57" w:rsidRDefault="00911657">
      <w:pPr>
        <w:pStyle w:val="Nadpis1"/>
        <w:ind w:right="8"/>
      </w:pPr>
    </w:p>
    <w:p w:rsidR="00097931" w:rsidRDefault="001D0C40">
      <w:pPr>
        <w:pStyle w:val="Nadpis1"/>
        <w:ind w:right="8"/>
      </w:pPr>
      <w:r>
        <w:t>VŠEOBECNE ZÁVÄZNÉ N</w:t>
      </w:r>
      <w:r w:rsidR="008911D9">
        <w:t>ARIADENIE OBCE BANSKÝ STUDENEC  č. 1/2017</w:t>
      </w:r>
      <w:r>
        <w:t xml:space="preserve"> o sociálnych službách </w:t>
      </w:r>
    </w:p>
    <w:p w:rsidR="00097931" w:rsidRDefault="001D0C40">
      <w:pPr>
        <w:spacing w:after="0" w:line="259" w:lineRule="auto"/>
        <w:ind w:left="0" w:firstLine="0"/>
        <w:jc w:val="center"/>
      </w:pPr>
      <w:r>
        <w:t>(</w:t>
      </w:r>
      <w:r>
        <w:rPr>
          <w:b/>
        </w:rPr>
        <w:t xml:space="preserve"> </w:t>
      </w:r>
      <w:r>
        <w:t xml:space="preserve">úplné znenie ) </w:t>
      </w:r>
    </w:p>
    <w:p w:rsidR="00097931" w:rsidRDefault="001D0C40">
      <w:pPr>
        <w:spacing w:after="0" w:line="259" w:lineRule="auto"/>
        <w:ind w:left="0" w:right="0" w:firstLine="0"/>
      </w:pPr>
      <w:r>
        <w:t xml:space="preserve"> </w:t>
      </w:r>
    </w:p>
    <w:p w:rsidR="00097931" w:rsidRDefault="008911D9">
      <w:pPr>
        <w:spacing w:after="0" w:line="267" w:lineRule="auto"/>
        <w:ind w:left="0" w:right="4" w:firstLine="0"/>
        <w:jc w:val="both"/>
      </w:pPr>
      <w:r>
        <w:t xml:space="preserve">Obec Banský Studenec </w:t>
      </w:r>
      <w:r w:rsidR="001D0C40">
        <w:t xml:space="preserve"> podľa § 4, ost.3, písm. p) a § 6 odst.1 zákona SNR č. 369/1990 Zb. o obecnom zriadení v znení neskorších predpisov a doplnkov a zákona č. 448/2008 Z. z. o sociálnych službách a o zmene a doplnení  zákona č. 455/1991 Zb. o živnostenskom podnikaní (živnostenský zákon) v znení neskorších predpisov vydáva všeobecne záväzné nariadenie o sociálnych službách, posky</w:t>
      </w:r>
      <w:r>
        <w:t>tovaných obcou Banský Studenec</w:t>
      </w:r>
      <w:r w:rsidR="001D0C40">
        <w:t xml:space="preserve">. </w:t>
      </w:r>
    </w:p>
    <w:p w:rsidR="00097931" w:rsidRDefault="001D0C40">
      <w:pPr>
        <w:spacing w:after="26" w:line="259" w:lineRule="auto"/>
        <w:ind w:left="0" w:right="0" w:firstLine="0"/>
      </w:pPr>
      <w:r>
        <w:t xml:space="preserve">  </w:t>
      </w:r>
    </w:p>
    <w:p w:rsidR="00097931" w:rsidRDefault="001D0C40">
      <w:pPr>
        <w:spacing w:line="271" w:lineRule="auto"/>
        <w:ind w:right="5"/>
        <w:jc w:val="center"/>
      </w:pPr>
      <w:r>
        <w:rPr>
          <w:b/>
        </w:rPr>
        <w:t>Čl. I Všeobecné ustanovenia</w:t>
      </w:r>
      <w:r>
        <w:t xml:space="preserve"> </w:t>
      </w:r>
    </w:p>
    <w:p w:rsidR="00097931" w:rsidRDefault="001D0C40">
      <w:pPr>
        <w:spacing w:after="23" w:line="259" w:lineRule="auto"/>
        <w:ind w:left="58" w:right="0" w:firstLine="0"/>
        <w:jc w:val="center"/>
      </w:pPr>
      <w:r>
        <w:t xml:space="preserve"> </w:t>
      </w:r>
    </w:p>
    <w:p w:rsidR="00097931" w:rsidRDefault="001D0C40">
      <w:pPr>
        <w:pStyle w:val="Nadpis1"/>
        <w:ind w:right="5"/>
      </w:pPr>
      <w:r>
        <w:t>§ 1</w:t>
      </w:r>
      <w:r>
        <w:rPr>
          <w:b w:val="0"/>
        </w:rPr>
        <w:t xml:space="preserve"> </w:t>
      </w:r>
    </w:p>
    <w:p w:rsidR="00097931" w:rsidRDefault="001D0C40">
      <w:pPr>
        <w:ind w:left="-5" w:right="0"/>
      </w:pPr>
      <w:r>
        <w:t>(1)</w:t>
      </w:r>
      <w:r>
        <w:rPr>
          <w:rFonts w:ascii="Arial CE" w:eastAsia="Arial CE" w:hAnsi="Arial CE" w:cs="Arial CE"/>
        </w:rPr>
        <w:t xml:space="preserve"> </w:t>
      </w:r>
      <w:r>
        <w:t xml:space="preserve">Toto všeobecne záväzné nariadenie (ďalej len „VZN“) v zmysle zákona NR SR č. 448/2008 Z. </w:t>
      </w:r>
    </w:p>
    <w:p w:rsidR="00097931" w:rsidRDefault="001D0C40">
      <w:pPr>
        <w:ind w:left="370" w:right="0"/>
      </w:pPr>
      <w:r>
        <w:t>z. o sociálnych službách a o zmene a doplnení zákona č.455/1991 Zb. o živnostenskom podnikaní (živnostenský zákon) v znení neskorších predpisov (ďalej len osobitný predpis) ustanovuje podmienky na základe</w:t>
      </w:r>
      <w:r w:rsidR="008911D9">
        <w:t xml:space="preserve"> ktorých obec Banský Studenec </w:t>
      </w:r>
      <w:r>
        <w:t>pri výkone svojej samosprávnej pôsobnosti zabezpečuje sociálne služby pre občana, ktorý je odkázaný na sociálnu službu a stanovuje úhradu za poskytovanie sociálnej služby.</w:t>
      </w:r>
      <w:r>
        <w:rPr>
          <w:b/>
        </w:rPr>
        <w:t xml:space="preserve"> </w:t>
      </w:r>
    </w:p>
    <w:p w:rsidR="00097931" w:rsidRDefault="001D0C40">
      <w:pPr>
        <w:spacing w:after="18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097931" w:rsidRDefault="001D0C40">
      <w:pPr>
        <w:pStyle w:val="Nadpis1"/>
        <w:ind w:right="5"/>
      </w:pPr>
      <w:r>
        <w:t>§ 2</w:t>
      </w:r>
      <w:r>
        <w:rPr>
          <w:b w:val="0"/>
        </w:rPr>
        <w:t xml:space="preserve"> </w:t>
      </w:r>
    </w:p>
    <w:p w:rsidR="00097931" w:rsidRDefault="001D0C40">
      <w:pPr>
        <w:ind w:left="-5" w:right="0"/>
      </w:pPr>
      <w:r>
        <w:t>(1)</w:t>
      </w:r>
      <w:r>
        <w:rPr>
          <w:rFonts w:ascii="Arial CE" w:eastAsia="Arial CE" w:hAnsi="Arial CE" w:cs="Arial CE"/>
        </w:rPr>
        <w:t xml:space="preserve"> </w:t>
      </w:r>
      <w:r w:rsidR="008911D9">
        <w:t xml:space="preserve">Obec </w:t>
      </w:r>
      <w:r>
        <w:t xml:space="preserve"> v rozsahu svojej pôsobnosti: </w:t>
      </w:r>
    </w:p>
    <w:p w:rsidR="00097931" w:rsidRDefault="001D0C40">
      <w:pPr>
        <w:numPr>
          <w:ilvl w:val="0"/>
          <w:numId w:val="1"/>
        </w:numPr>
        <w:ind w:right="0" w:hanging="288"/>
      </w:pPr>
      <w:r>
        <w:t xml:space="preserve">poskytne sociálnu službu uvedenú v § 3 </w:t>
      </w:r>
    </w:p>
    <w:p w:rsidR="00097931" w:rsidRDefault="00097931">
      <w:pPr>
        <w:spacing w:after="18" w:line="259" w:lineRule="auto"/>
        <w:ind w:left="58" w:right="0" w:firstLine="0"/>
        <w:jc w:val="center"/>
      </w:pPr>
    </w:p>
    <w:p w:rsidR="00097931" w:rsidRDefault="001D0C40">
      <w:pPr>
        <w:pStyle w:val="Nadpis1"/>
        <w:ind w:right="5"/>
      </w:pPr>
      <w:r>
        <w:t>§ 3</w:t>
      </w:r>
      <w:r>
        <w:rPr>
          <w:b w:val="0"/>
        </w:rPr>
        <w:t xml:space="preserve"> </w:t>
      </w:r>
    </w:p>
    <w:p w:rsidR="00097931" w:rsidRDefault="001D0C40">
      <w:pPr>
        <w:ind w:left="-5" w:right="0"/>
      </w:pPr>
      <w:r>
        <w:t>(1)</w:t>
      </w:r>
      <w:r>
        <w:rPr>
          <w:rFonts w:ascii="Arial CE" w:eastAsia="Arial CE" w:hAnsi="Arial CE" w:cs="Arial CE"/>
        </w:rPr>
        <w:t xml:space="preserve"> </w:t>
      </w:r>
      <w:r>
        <w:t>Sociálne služby pos</w:t>
      </w:r>
      <w:r w:rsidR="008911D9">
        <w:t xml:space="preserve">kytované obcou Banský Studenec </w:t>
      </w:r>
      <w:r>
        <w:t xml:space="preserve"> podľa druhu sú: </w:t>
      </w:r>
    </w:p>
    <w:p w:rsidR="00097931" w:rsidRDefault="001D0C40">
      <w:pPr>
        <w:numPr>
          <w:ilvl w:val="1"/>
          <w:numId w:val="2"/>
        </w:numPr>
        <w:ind w:right="0" w:hanging="360"/>
      </w:pPr>
      <w:r>
        <w:t xml:space="preserve">prepravná služba </w:t>
      </w:r>
    </w:p>
    <w:p w:rsidR="00097931" w:rsidRDefault="00097931">
      <w:pPr>
        <w:spacing w:after="22" w:line="259" w:lineRule="auto"/>
        <w:ind w:left="58" w:right="0" w:firstLine="0"/>
        <w:jc w:val="center"/>
      </w:pPr>
    </w:p>
    <w:p w:rsidR="00097931" w:rsidRDefault="00097931">
      <w:pPr>
        <w:spacing w:after="27" w:line="259" w:lineRule="auto"/>
        <w:ind w:left="0" w:right="0" w:firstLine="0"/>
      </w:pPr>
    </w:p>
    <w:p w:rsidR="00097931" w:rsidRDefault="001D0C40">
      <w:pPr>
        <w:spacing w:line="271" w:lineRule="auto"/>
        <w:ind w:right="5"/>
        <w:jc w:val="center"/>
      </w:pPr>
      <w:r>
        <w:rPr>
          <w:b/>
        </w:rPr>
        <w:t>Čl. II Prepravná služba</w:t>
      </w:r>
      <w:r>
        <w:t xml:space="preserve"> </w:t>
      </w:r>
    </w:p>
    <w:p w:rsidR="00097931" w:rsidRDefault="001D0C40">
      <w:pPr>
        <w:spacing w:after="22" w:line="259" w:lineRule="auto"/>
        <w:ind w:left="58" w:right="0" w:firstLine="0"/>
        <w:jc w:val="center"/>
      </w:pPr>
      <w:r>
        <w:t xml:space="preserve"> </w:t>
      </w:r>
    </w:p>
    <w:p w:rsidR="00097931" w:rsidRDefault="001D0C40">
      <w:pPr>
        <w:pStyle w:val="Nadpis1"/>
        <w:ind w:right="2"/>
      </w:pPr>
      <w:r>
        <w:t>§4 Okruh osôb, ktorým sa poskytuje prepravná služba</w:t>
      </w:r>
      <w:r>
        <w:rPr>
          <w:b w:val="0"/>
        </w:rPr>
        <w:t xml:space="preserve"> </w:t>
      </w:r>
    </w:p>
    <w:p w:rsidR="00097931" w:rsidRDefault="001D0C40">
      <w:pPr>
        <w:ind w:left="-5" w:right="0"/>
      </w:pPr>
      <w:r>
        <w:t>(1)</w:t>
      </w:r>
      <w:r>
        <w:rPr>
          <w:rFonts w:ascii="Arial CE" w:eastAsia="Arial CE" w:hAnsi="Arial CE" w:cs="Arial CE"/>
        </w:rPr>
        <w:t xml:space="preserve"> </w:t>
      </w:r>
      <w:r>
        <w:t xml:space="preserve">Prepravná služba je sociálna služba, ktorá sa poskytuje: </w:t>
      </w:r>
    </w:p>
    <w:p w:rsidR="00097931" w:rsidRDefault="001D0C40">
      <w:pPr>
        <w:numPr>
          <w:ilvl w:val="0"/>
          <w:numId w:val="5"/>
        </w:numPr>
        <w:ind w:right="0" w:hanging="348"/>
      </w:pPr>
      <w:r>
        <w:t xml:space="preserve">fyzickej osobe s ťažkým zdravotným postihnutím s trvalým pobytom na území obce Banský Studenec, ktorá je odkázaná na individuálnu prepravu osobným motorovým vozidlom,  </w:t>
      </w:r>
    </w:p>
    <w:p w:rsidR="00097931" w:rsidRDefault="001D0C40">
      <w:pPr>
        <w:numPr>
          <w:ilvl w:val="0"/>
          <w:numId w:val="5"/>
        </w:numPr>
        <w:ind w:right="0" w:hanging="348"/>
      </w:pPr>
      <w:r>
        <w:t xml:space="preserve">fyzickej osobe  s trvalým pobytom na území obce Banský Studenec s nepriaznivým zdravotným stavom s obmedzenou schopnosťou pohybu po rovine alebo po schodoch a obmedzenou schopnosťou orientácie </w:t>
      </w:r>
    </w:p>
    <w:p w:rsidR="00097931" w:rsidRDefault="001D0C40">
      <w:pPr>
        <w:numPr>
          <w:ilvl w:val="0"/>
          <w:numId w:val="5"/>
        </w:numPr>
        <w:ind w:right="0" w:hanging="348"/>
      </w:pPr>
      <w:r>
        <w:t xml:space="preserve">fyzickej osobe – seniorom nad 65 rokov s trvalým pobytom v obci Banský Studenec </w:t>
      </w:r>
    </w:p>
    <w:p w:rsidR="00097931" w:rsidRDefault="001D0C40">
      <w:pPr>
        <w:spacing w:after="17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097931" w:rsidRDefault="001D0C40">
      <w:pPr>
        <w:pStyle w:val="Nadpis1"/>
        <w:ind w:right="2"/>
      </w:pPr>
      <w:r>
        <w:t>§5 Poskytovanie prepravnej služby</w:t>
      </w:r>
      <w:r>
        <w:rPr>
          <w:b w:val="0"/>
        </w:rPr>
        <w:t xml:space="preserve"> </w:t>
      </w:r>
    </w:p>
    <w:p w:rsidR="00097931" w:rsidRDefault="001D0C40">
      <w:pPr>
        <w:numPr>
          <w:ilvl w:val="0"/>
          <w:numId w:val="6"/>
        </w:numPr>
        <w:ind w:right="0" w:hanging="360"/>
      </w:pPr>
      <w:r>
        <w:t xml:space="preserve">Odkázanosť na individuálnu prepravu osobným motorovým vozidlom sa preukazuje poskytovateľovi prepravnej služby právoplatným rozhodnutím úradu práce, sociálnych vecí a  rodiny o odkázanosti na individuálnu prepravu alebo preukazom ZŤP. Nepriaznivý zdravotný </w:t>
      </w:r>
      <w:r>
        <w:lastRenderedPageBreak/>
        <w:t xml:space="preserve">stav fyzická osoba preukazuje potvrdením poskytovateľa zdravotnej starostlivosti, alebo časenkou k lekárovi. Seniori sa preukazujú preukazom totožnosti.. </w:t>
      </w:r>
    </w:p>
    <w:p w:rsidR="00097931" w:rsidRDefault="001D0C40">
      <w:pPr>
        <w:numPr>
          <w:ilvl w:val="0"/>
          <w:numId w:val="6"/>
        </w:numPr>
        <w:ind w:right="0" w:hanging="360"/>
      </w:pPr>
      <w:r>
        <w:t xml:space="preserve">Prepravná služba sa objednáva telefonicky alebo písomne deň vopred u poskytovateľa prepravnej služby. </w:t>
      </w:r>
    </w:p>
    <w:p w:rsidR="00097931" w:rsidRDefault="001D0C40">
      <w:pPr>
        <w:spacing w:after="22" w:line="259" w:lineRule="auto"/>
        <w:ind w:left="0" w:right="0" w:firstLine="0"/>
      </w:pPr>
      <w:r>
        <w:t xml:space="preserve"> </w:t>
      </w:r>
    </w:p>
    <w:p w:rsidR="00097931" w:rsidRDefault="001D0C40">
      <w:pPr>
        <w:pStyle w:val="Nadpis1"/>
        <w:ind w:right="2"/>
      </w:pPr>
      <w:r>
        <w:t xml:space="preserve">§6 Využitie prepravnej služby </w:t>
      </w:r>
    </w:p>
    <w:p w:rsidR="00097931" w:rsidRDefault="001D0C40">
      <w:pPr>
        <w:numPr>
          <w:ilvl w:val="0"/>
          <w:numId w:val="7"/>
        </w:numPr>
        <w:ind w:right="0" w:hanging="348"/>
      </w:pPr>
      <w:r>
        <w:t xml:space="preserve">na prepravu do zdravotníckych zariadení v meste Banská Štiavnica </w:t>
      </w:r>
    </w:p>
    <w:p w:rsidR="00097931" w:rsidRDefault="001D0C40">
      <w:pPr>
        <w:numPr>
          <w:ilvl w:val="0"/>
          <w:numId w:val="7"/>
        </w:numPr>
        <w:ind w:right="0" w:hanging="348"/>
      </w:pPr>
      <w:r>
        <w:t xml:space="preserve">na prepravu do zdravotníckych zariadení mimo mesta Banská Štiavnica  </w:t>
      </w:r>
    </w:p>
    <w:p w:rsidR="00097931" w:rsidRDefault="001D0C40">
      <w:pPr>
        <w:numPr>
          <w:ilvl w:val="0"/>
          <w:numId w:val="7"/>
        </w:numPr>
        <w:ind w:right="0" w:hanging="348"/>
      </w:pPr>
      <w:r>
        <w:t xml:space="preserve">na prepravu do zariadení sociálnych služieb v okrese Banská Štiavnica </w:t>
      </w:r>
    </w:p>
    <w:p w:rsidR="00097931" w:rsidRDefault="001D0C40">
      <w:pPr>
        <w:numPr>
          <w:ilvl w:val="0"/>
          <w:numId w:val="7"/>
        </w:numPr>
        <w:ind w:right="0" w:hanging="348"/>
      </w:pPr>
      <w:r>
        <w:t xml:space="preserve">na prepravu na nástup / ukončenie kúpeľnej liečby mimo mesta Banská Štiavnica </w:t>
      </w:r>
    </w:p>
    <w:p w:rsidR="00097931" w:rsidRDefault="001D0C40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097931" w:rsidRDefault="001D0C40">
      <w:pPr>
        <w:pStyle w:val="Nadpis1"/>
        <w:ind w:right="2"/>
      </w:pPr>
      <w:r>
        <w:t>§7 Výška a spôsob úhrady za prepravnú službu</w:t>
      </w:r>
      <w:r>
        <w:rPr>
          <w:b w:val="0"/>
        </w:rPr>
        <w:t xml:space="preserve"> </w:t>
      </w:r>
    </w:p>
    <w:p w:rsidR="00097931" w:rsidRDefault="001D0C40">
      <w:pPr>
        <w:numPr>
          <w:ilvl w:val="0"/>
          <w:numId w:val="8"/>
        </w:numPr>
        <w:ind w:right="0" w:hanging="360"/>
      </w:pPr>
      <w:r>
        <w:t xml:space="preserve">Výška úhrady </w:t>
      </w:r>
      <w:r>
        <w:rPr>
          <w:b/>
        </w:rPr>
        <w:t xml:space="preserve">obce Banský Studenec </w:t>
      </w:r>
      <w:r>
        <w:t xml:space="preserve"> za prepravnú službu poskytovateľovi je: </w:t>
      </w:r>
    </w:p>
    <w:p w:rsidR="00097931" w:rsidRDefault="001D0C4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6654" w:type="dxa"/>
        <w:tblInd w:w="474" w:type="dxa"/>
        <w:tblCellMar>
          <w:top w:w="59" w:type="dxa"/>
          <w:left w:w="56" w:type="dxa"/>
          <w:right w:w="88" w:type="dxa"/>
        </w:tblCellMar>
        <w:tblLook w:val="04A0" w:firstRow="1" w:lastRow="0" w:firstColumn="1" w:lastColumn="0" w:noHBand="0" w:noVBand="1"/>
      </w:tblPr>
      <w:tblGrid>
        <w:gridCol w:w="2240"/>
        <w:gridCol w:w="2239"/>
        <w:gridCol w:w="2175"/>
      </w:tblGrid>
      <w:tr w:rsidR="00097931">
        <w:trPr>
          <w:trHeight w:val="94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C93E7B">
            <w:pPr>
              <w:spacing w:after="0" w:line="259" w:lineRule="auto"/>
              <w:ind w:left="0" w:right="0" w:firstLine="0"/>
            </w:pPr>
            <w:r>
              <w:t xml:space="preserve">Cena za  jazdu </w:t>
            </w:r>
            <w:bookmarkStart w:id="0" w:name="_GoBack"/>
            <w:bookmarkEnd w:id="0"/>
            <w:r w:rsidR="001D0C40">
              <w:t xml:space="preserve"> </w:t>
            </w:r>
            <w:r w:rsidR="001A0337">
              <w:rPr>
                <w:b/>
              </w:rPr>
              <w:t>do mesta</w:t>
            </w:r>
            <w:r w:rsidR="001D0C40">
              <w:t xml:space="preserve"> Banská Štiavnica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0" w:right="254" w:firstLine="0"/>
              <w:jc w:val="both"/>
            </w:pPr>
            <w:r>
              <w:t xml:space="preserve">Cena za km </w:t>
            </w:r>
            <w:r>
              <w:rPr>
                <w:b/>
              </w:rPr>
              <w:t>mimo mesta</w:t>
            </w:r>
            <w:r>
              <w:t xml:space="preserve"> Banská Štiavnica </w:t>
            </w:r>
          </w:p>
        </w:tc>
      </w:tr>
      <w:tr w:rsidR="00097931">
        <w:trPr>
          <w:trHeight w:val="58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Občan ŤZP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32" w:right="0" w:firstLine="0"/>
              <w:jc w:val="center"/>
            </w:pPr>
            <w:r>
              <w:t xml:space="preserve">0,30 €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35" w:right="0" w:firstLine="0"/>
              <w:jc w:val="center"/>
            </w:pPr>
            <w:r>
              <w:t xml:space="preserve">0,10 € </w:t>
            </w:r>
          </w:p>
        </w:tc>
      </w:tr>
      <w:tr w:rsidR="00097931">
        <w:trPr>
          <w:trHeight w:val="93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2" w:right="60" w:firstLine="0"/>
              <w:jc w:val="both"/>
            </w:pPr>
            <w:r>
              <w:rPr>
                <w:b/>
              </w:rPr>
              <w:t>Občan s nepriaznivým zdravotným stavom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32" w:right="0" w:firstLine="0"/>
              <w:jc w:val="center"/>
            </w:pPr>
            <w:r>
              <w:t xml:space="preserve">0,30 €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35" w:right="0" w:firstLine="0"/>
              <w:jc w:val="center"/>
            </w:pPr>
            <w:r>
              <w:t xml:space="preserve">0,10 € </w:t>
            </w:r>
          </w:p>
        </w:tc>
      </w:tr>
      <w:tr w:rsidR="00097931">
        <w:trPr>
          <w:trHeight w:val="58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Senior nad 65 r.</w:t>
            </w:r>
            <w:r>
              <w:t xml:space="preserve">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32" w:right="0" w:firstLine="0"/>
              <w:jc w:val="center"/>
            </w:pPr>
            <w:r>
              <w:t xml:space="preserve">0,30 € 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931" w:rsidRDefault="001D0C40">
            <w:pPr>
              <w:spacing w:after="0" w:line="259" w:lineRule="auto"/>
              <w:ind w:left="35" w:right="0" w:firstLine="0"/>
              <w:jc w:val="center"/>
            </w:pPr>
            <w:r>
              <w:t xml:space="preserve">0,10 € </w:t>
            </w:r>
          </w:p>
        </w:tc>
      </w:tr>
    </w:tbl>
    <w:p w:rsidR="00097931" w:rsidRDefault="001D0C40">
      <w:pPr>
        <w:spacing w:after="23" w:line="259" w:lineRule="auto"/>
        <w:ind w:left="0" w:right="0" w:firstLine="0"/>
      </w:pPr>
      <w:r>
        <w:t xml:space="preserve"> </w:t>
      </w:r>
    </w:p>
    <w:p w:rsidR="00097931" w:rsidRDefault="001D0C40">
      <w:pPr>
        <w:numPr>
          <w:ilvl w:val="0"/>
          <w:numId w:val="8"/>
        </w:numPr>
        <w:ind w:right="0" w:hanging="360"/>
      </w:pPr>
      <w:r>
        <w:t xml:space="preserve">Spôsob úhrady za poskytovanie prepravnej služby: </w:t>
      </w:r>
    </w:p>
    <w:p w:rsidR="00097931" w:rsidRDefault="001D0C40">
      <w:pPr>
        <w:numPr>
          <w:ilvl w:val="1"/>
          <w:numId w:val="8"/>
        </w:numPr>
        <w:ind w:right="0" w:hanging="348"/>
      </w:pPr>
      <w:r>
        <w:t xml:space="preserve">prijímateľ sociálnej služby zaplatí poskytovateľovi v hotovosti sumu za najazdené km. </w:t>
      </w:r>
    </w:p>
    <w:p w:rsidR="00097931" w:rsidRDefault="001D0C40">
      <w:pPr>
        <w:numPr>
          <w:ilvl w:val="1"/>
          <w:numId w:val="8"/>
        </w:numPr>
        <w:ind w:right="0" w:hanging="348"/>
      </w:pPr>
      <w:r>
        <w:t xml:space="preserve">za úhradu (platbu) dostane prijímateľ od poskytovateľa prepravnej služby príjmový    pokladničný doklad o výške úhrady za túto službu. </w:t>
      </w:r>
    </w:p>
    <w:p w:rsidR="00097931" w:rsidRDefault="001D0C40">
      <w:pPr>
        <w:spacing w:after="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27" w:line="259" w:lineRule="auto"/>
        <w:ind w:left="0" w:right="0" w:firstLine="0"/>
      </w:pPr>
      <w:r>
        <w:t xml:space="preserve"> </w:t>
      </w:r>
    </w:p>
    <w:p w:rsidR="00097931" w:rsidRDefault="00097931">
      <w:pPr>
        <w:spacing w:after="27" w:line="259" w:lineRule="auto"/>
        <w:ind w:left="58" w:right="0" w:firstLine="0"/>
        <w:jc w:val="center"/>
      </w:pPr>
    </w:p>
    <w:p w:rsidR="00097931" w:rsidRDefault="001D0C40">
      <w:pPr>
        <w:pStyle w:val="Nadpis1"/>
        <w:ind w:right="2"/>
      </w:pPr>
      <w:r>
        <w:t>Čl. III Záverečné ustanovenia</w:t>
      </w:r>
      <w:r>
        <w:rPr>
          <w:b w:val="0"/>
        </w:rPr>
        <w:t xml:space="preserve"> </w:t>
      </w:r>
    </w:p>
    <w:p w:rsidR="00097931" w:rsidRDefault="001D0C40">
      <w:pPr>
        <w:numPr>
          <w:ilvl w:val="0"/>
          <w:numId w:val="11"/>
        </w:numPr>
        <w:ind w:right="0" w:hanging="392"/>
      </w:pPr>
      <w:r>
        <w:t xml:space="preserve">Pri poskytovaní sociálnych služieb a stanovení úhrady za poskytované sociálne služby sa primerane použije Zákon č. 448/2008 Z. z. o sociálnych službách, Zákon č. 71/1967 Zb. </w:t>
      </w:r>
    </w:p>
    <w:p w:rsidR="00097931" w:rsidRDefault="001D0C40">
      <w:pPr>
        <w:ind w:left="402" w:right="0"/>
      </w:pPr>
      <w:r>
        <w:t xml:space="preserve">o správnom konaní v znení neskorších predpisov. </w:t>
      </w:r>
    </w:p>
    <w:p w:rsidR="00097931" w:rsidRDefault="001D0C40">
      <w:pPr>
        <w:numPr>
          <w:ilvl w:val="0"/>
          <w:numId w:val="11"/>
        </w:numPr>
        <w:ind w:right="0" w:hanging="392"/>
      </w:pPr>
      <w:r>
        <w:t xml:space="preserve">V zmysle ustanovenia § 6 ods. 3 zákona SNR č. 369/1990 Zb. o obecnom zriadení v znení neskorších právnych predpisov bol návrh tohto VZN  zverejnený na úradnej tabuli, a na webovej stránke obce </w:t>
      </w:r>
      <w:hyperlink r:id="rId5" w:history="1">
        <w:r w:rsidRPr="006161F6">
          <w:rPr>
            <w:rStyle w:val="Hypertextovprepojenie"/>
          </w:rPr>
          <w:t>www.banskystudenec.sk</w:t>
        </w:r>
      </w:hyperlink>
      <w:r>
        <w:t xml:space="preserve"> </w:t>
      </w:r>
      <w:hyperlink r:id="rId6">
        <w:r>
          <w:t xml:space="preserve"> </w:t>
        </w:r>
      </w:hyperlink>
      <w:r>
        <w:t xml:space="preserve">od  </w:t>
      </w:r>
      <w:r w:rsidR="00F55BF3">
        <w:t>10.01.2017 do 26.01.2017</w:t>
      </w:r>
      <w:r>
        <w:t xml:space="preserve">                       . </w:t>
      </w:r>
    </w:p>
    <w:p w:rsidR="00097931" w:rsidRDefault="001D0C40">
      <w:pPr>
        <w:numPr>
          <w:ilvl w:val="0"/>
          <w:numId w:val="11"/>
        </w:numPr>
        <w:spacing w:after="58"/>
        <w:ind w:right="0" w:hanging="392"/>
      </w:pPr>
      <w:r>
        <w:t xml:space="preserve">Obecné zastupiteľstvo obce Banský Studenec  </w:t>
      </w:r>
      <w:r w:rsidR="002F4AFD">
        <w:t>sa na tomto VZN  uznieslo dňa  26.01.2017</w:t>
      </w:r>
      <w:r>
        <w:t xml:space="preserve">              , a to Uznesením č.   </w:t>
      </w:r>
      <w:r w:rsidR="002F4AFD">
        <w:t xml:space="preserve">1/2017 </w:t>
      </w:r>
      <w:r>
        <w:t xml:space="preserve"> . </w:t>
      </w:r>
    </w:p>
    <w:p w:rsidR="00097931" w:rsidRDefault="001D0C40">
      <w:pPr>
        <w:numPr>
          <w:ilvl w:val="0"/>
          <w:numId w:val="11"/>
        </w:numPr>
        <w:ind w:right="0" w:hanging="392"/>
      </w:pPr>
      <w:r>
        <w:t xml:space="preserve">Toto VZN nadobúda účinnosť  pätnástym dňom  od vyvesenia na úradnej tabuli obce Banský Studenec </w:t>
      </w:r>
    </w:p>
    <w:tbl>
      <w:tblPr>
        <w:tblStyle w:val="TableGrid"/>
        <w:tblW w:w="5879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65"/>
        <w:gridCol w:w="708"/>
        <w:gridCol w:w="206"/>
      </w:tblGrid>
      <w:tr w:rsidR="001D0C40" w:rsidTr="001D0C40">
        <w:trPr>
          <w:trHeight w:val="3363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C40" w:rsidRDefault="001D0C40" w:rsidP="001D0C40">
            <w:pPr>
              <w:spacing w:after="31" w:line="259" w:lineRule="auto"/>
              <w:ind w:left="0" w:right="0" w:firstLine="0"/>
            </w:pPr>
            <w:r>
              <w:lastRenderedPageBreak/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Banský Studenec, dňa </w:t>
            </w:r>
            <w:r w:rsidR="002F4AFD">
              <w:t>26.01.2017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0C40" w:rsidRDefault="001D0C40">
            <w:pPr>
              <w:spacing w:after="160" w:line="259" w:lineRule="auto"/>
              <w:ind w:left="0" w:right="0" w:firstLine="0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D0C40" w:rsidRDefault="001D0C40">
            <w:pPr>
              <w:spacing w:after="160" w:line="259" w:lineRule="auto"/>
              <w:ind w:left="0" w:right="0" w:firstLine="0"/>
            </w:pPr>
          </w:p>
        </w:tc>
      </w:tr>
      <w:tr w:rsidR="001D0C40" w:rsidTr="001D0C40">
        <w:trPr>
          <w:trHeight w:val="27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D0C40" w:rsidRDefault="001D0C4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97931" w:rsidRDefault="001D0C40">
      <w:pPr>
        <w:spacing w:after="172" w:line="259" w:lineRule="auto"/>
        <w:ind w:left="0" w:right="0" w:firstLine="0"/>
      </w:pPr>
      <w:r>
        <w:t xml:space="preserve">                                                                                              Pavol Santoris 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                                                                                               Starosta obce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2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2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2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0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1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72" w:line="259" w:lineRule="auto"/>
        <w:ind w:left="0" w:right="0" w:firstLine="0"/>
      </w:pPr>
      <w:r>
        <w:t xml:space="preserve"> </w:t>
      </w:r>
    </w:p>
    <w:p w:rsidR="00097931" w:rsidRDefault="001D0C40">
      <w:pPr>
        <w:spacing w:after="184" w:line="259" w:lineRule="auto"/>
        <w:ind w:left="0" w:right="0" w:firstLine="0"/>
      </w:pPr>
      <w:r>
        <w:t xml:space="preserve"> </w:t>
      </w:r>
    </w:p>
    <w:p w:rsidR="00911657" w:rsidRDefault="001D0C40">
      <w:pPr>
        <w:spacing w:line="421" w:lineRule="auto"/>
        <w:ind w:left="-5" w:right="3732"/>
      </w:pPr>
      <w:r>
        <w:t>Vyvesené dň</w:t>
      </w:r>
      <w:r w:rsidR="00911657">
        <w:t>a : 10.1.2017</w:t>
      </w:r>
    </w:p>
    <w:p w:rsidR="00097931" w:rsidRDefault="001D0C40">
      <w:pPr>
        <w:spacing w:line="421" w:lineRule="auto"/>
        <w:ind w:left="-5" w:right="3732"/>
      </w:pPr>
      <w:r>
        <w:t xml:space="preserve">Zvesené dňa : ............................................................. </w:t>
      </w:r>
    </w:p>
    <w:sectPr w:rsidR="00097931">
      <w:pgSz w:w="11906" w:h="16838"/>
      <w:pgMar w:top="1179" w:right="1131" w:bottom="130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53AB"/>
    <w:multiLevelType w:val="hybridMultilevel"/>
    <w:tmpl w:val="024C5D28"/>
    <w:lvl w:ilvl="0" w:tplc="4154BEE4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6892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8BB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CCA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2E1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FC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87C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C01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60B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41AC0"/>
    <w:multiLevelType w:val="hybridMultilevel"/>
    <w:tmpl w:val="B840F320"/>
    <w:lvl w:ilvl="0" w:tplc="A1E686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A0D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004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14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E8E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2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CC2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857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EC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C4611"/>
    <w:multiLevelType w:val="hybridMultilevel"/>
    <w:tmpl w:val="8EC48C40"/>
    <w:lvl w:ilvl="0" w:tplc="E4F665BC">
      <w:start w:val="1"/>
      <w:numFmt w:val="decimal"/>
      <w:lvlText w:val="(%1)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6C4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A2E5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A2C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0DF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2AB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30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432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897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A31A3"/>
    <w:multiLevelType w:val="hybridMultilevel"/>
    <w:tmpl w:val="E0361810"/>
    <w:lvl w:ilvl="0" w:tplc="864C7636">
      <w:start w:val="1"/>
      <w:numFmt w:val="decimal"/>
      <w:lvlText w:val="(%1)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E8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A1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A1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A9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C5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8E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89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A36EB"/>
    <w:multiLevelType w:val="hybridMultilevel"/>
    <w:tmpl w:val="15F49608"/>
    <w:lvl w:ilvl="0" w:tplc="20F4ACB4">
      <w:start w:val="1"/>
      <w:numFmt w:val="decimal"/>
      <w:lvlText w:val="(%1)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7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80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26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C1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25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F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44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C1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7D2D70"/>
    <w:multiLevelType w:val="hybridMultilevel"/>
    <w:tmpl w:val="AD0A0B72"/>
    <w:lvl w:ilvl="0" w:tplc="53368FE0">
      <w:start w:val="1"/>
      <w:numFmt w:val="decimal"/>
      <w:lvlText w:val="(%1)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CD2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29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8D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D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44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9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81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44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7A38A0"/>
    <w:multiLevelType w:val="hybridMultilevel"/>
    <w:tmpl w:val="3C54AD94"/>
    <w:lvl w:ilvl="0" w:tplc="8484544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23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85D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0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65A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A2C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47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EA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4D8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B930D8"/>
    <w:multiLevelType w:val="hybridMultilevel"/>
    <w:tmpl w:val="072C8A1E"/>
    <w:lvl w:ilvl="0" w:tplc="02966D56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CF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21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85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A8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2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E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86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C2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832C74"/>
    <w:multiLevelType w:val="hybridMultilevel"/>
    <w:tmpl w:val="18C0D168"/>
    <w:lvl w:ilvl="0" w:tplc="F8EE73D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CE4E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ABBF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CEBA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407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6505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C653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E2E7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4B53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7B42F5"/>
    <w:multiLevelType w:val="hybridMultilevel"/>
    <w:tmpl w:val="D3FAA850"/>
    <w:lvl w:ilvl="0" w:tplc="81260EB6">
      <w:start w:val="1"/>
      <w:numFmt w:val="lowerLetter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663A4">
      <w:start w:val="1"/>
      <w:numFmt w:val="bullet"/>
      <w:lvlText w:val="-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E9C6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658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C15B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A797A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21CC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0B488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8F2D4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F44D5"/>
    <w:multiLevelType w:val="hybridMultilevel"/>
    <w:tmpl w:val="E1147398"/>
    <w:lvl w:ilvl="0" w:tplc="FB72055A">
      <w:start w:val="1"/>
      <w:numFmt w:val="decimal"/>
      <w:lvlText w:val="(%1)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8411C">
      <w:start w:val="1"/>
      <w:numFmt w:val="bullet"/>
      <w:lvlText w:val="-"/>
      <w:lvlJc w:val="left"/>
      <w:pPr>
        <w:ind w:left="1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4C7DE">
      <w:start w:val="1"/>
      <w:numFmt w:val="bullet"/>
      <w:lvlText w:val="▪"/>
      <w:lvlJc w:val="left"/>
      <w:pPr>
        <w:ind w:left="1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A99B8">
      <w:start w:val="1"/>
      <w:numFmt w:val="bullet"/>
      <w:lvlText w:val="•"/>
      <w:lvlJc w:val="left"/>
      <w:pPr>
        <w:ind w:left="2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47A74">
      <w:start w:val="1"/>
      <w:numFmt w:val="bullet"/>
      <w:lvlText w:val="o"/>
      <w:lvlJc w:val="left"/>
      <w:pPr>
        <w:ind w:left="3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C04DC">
      <w:start w:val="1"/>
      <w:numFmt w:val="bullet"/>
      <w:lvlText w:val="▪"/>
      <w:lvlJc w:val="left"/>
      <w:pPr>
        <w:ind w:left="4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E3140">
      <w:start w:val="1"/>
      <w:numFmt w:val="bullet"/>
      <w:lvlText w:val="•"/>
      <w:lvlJc w:val="left"/>
      <w:pPr>
        <w:ind w:left="4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768E">
      <w:start w:val="1"/>
      <w:numFmt w:val="bullet"/>
      <w:lvlText w:val="o"/>
      <w:lvlJc w:val="left"/>
      <w:pPr>
        <w:ind w:left="5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AB71E">
      <w:start w:val="1"/>
      <w:numFmt w:val="bullet"/>
      <w:lvlText w:val="▪"/>
      <w:lvlJc w:val="left"/>
      <w:pPr>
        <w:ind w:left="6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1"/>
    <w:rsid w:val="00097931"/>
    <w:rsid w:val="001A0337"/>
    <w:rsid w:val="001D0C40"/>
    <w:rsid w:val="002F4AFD"/>
    <w:rsid w:val="00555C29"/>
    <w:rsid w:val="008911D9"/>
    <w:rsid w:val="00911657"/>
    <w:rsid w:val="00C93E7B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29CC-1658-47EA-AB17-B1201A2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68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" w:line="271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D0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skastiavnica.sk/" TargetMode="External"/><Relationship Id="rId5" Type="http://schemas.openxmlformats.org/officeDocument/2006/relationships/hyperlink" Target="http://www.banskystuden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Turanyiova</dc:creator>
  <cp:keywords/>
  <cp:lastModifiedBy>KAŠIAROVÁ Iveta</cp:lastModifiedBy>
  <cp:revision>12</cp:revision>
  <dcterms:created xsi:type="dcterms:W3CDTF">2017-01-11T09:57:00Z</dcterms:created>
  <dcterms:modified xsi:type="dcterms:W3CDTF">2017-02-13T10:53:00Z</dcterms:modified>
</cp:coreProperties>
</file>